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94" w:rsidRPr="00BA6B94" w:rsidRDefault="00BA6B94" w:rsidP="00BA6B94">
      <w:pPr>
        <w:spacing w:after="0"/>
        <w:jc w:val="center"/>
        <w:rPr>
          <w:rFonts w:ascii="Times New Roman" w:hAnsi="Times New Roman"/>
          <w:b/>
          <w:bCs/>
          <w:iCs/>
          <w:sz w:val="23"/>
          <w:szCs w:val="23"/>
          <w:lang w:eastAsia="en-US"/>
        </w:rPr>
      </w:pPr>
      <w:r w:rsidRPr="00BA6B94">
        <w:rPr>
          <w:rFonts w:ascii="Times New Roman" w:hAnsi="Times New Roman"/>
          <w:b/>
          <w:bCs/>
          <w:iCs/>
          <w:sz w:val="23"/>
          <w:szCs w:val="23"/>
          <w:lang w:eastAsia="en-US"/>
        </w:rPr>
        <w:t>Definitions: Antiracism and White Racial Frame</w:t>
      </w:r>
    </w:p>
    <w:p w:rsidR="00BA6B94" w:rsidRPr="00BA6B94" w:rsidRDefault="00BA6B94" w:rsidP="00BA6B94">
      <w:pPr>
        <w:spacing w:after="0"/>
        <w:jc w:val="right"/>
        <w:rPr>
          <w:rFonts w:ascii="Times New Roman" w:hAnsi="Times New Roman"/>
          <w:b/>
          <w:bCs/>
          <w:iCs/>
          <w:sz w:val="23"/>
          <w:szCs w:val="23"/>
          <w:lang w:eastAsia="en-US"/>
        </w:rPr>
      </w:pPr>
      <w:r w:rsidRPr="00BA6B94">
        <w:rPr>
          <w:rFonts w:ascii="Times New Roman" w:hAnsi="Times New Roman"/>
          <w:b/>
          <w:bCs/>
          <w:iCs/>
          <w:sz w:val="23"/>
          <w:szCs w:val="23"/>
          <w:lang w:eastAsia="en-US"/>
        </w:rPr>
        <w:t>ASDIC 2014</w:t>
      </w:r>
    </w:p>
    <w:p w:rsidR="00530FB2" w:rsidRDefault="00530FB2" w:rsidP="00530FB2">
      <w:pPr>
        <w:spacing w:after="0"/>
        <w:rPr>
          <w:rFonts w:ascii="Times New Roman" w:hAnsi="Times New Roman"/>
          <w:sz w:val="23"/>
          <w:szCs w:val="23"/>
          <w:lang w:eastAsia="en-US"/>
        </w:rPr>
      </w:pPr>
      <w:r w:rsidRPr="00BA6B94">
        <w:rPr>
          <w:rFonts w:ascii="Times New Roman" w:hAnsi="Times New Roman"/>
          <w:b/>
          <w:sz w:val="23"/>
          <w:szCs w:val="23"/>
          <w:lang w:eastAsia="en-US"/>
        </w:rPr>
        <w:t>Antiracism</w:t>
      </w:r>
      <w:r w:rsidRPr="00BA6B94">
        <w:rPr>
          <w:rFonts w:ascii="Times New Roman" w:hAnsi="Times New Roman"/>
          <w:sz w:val="23"/>
          <w:szCs w:val="23"/>
          <w:lang w:eastAsia="en-US"/>
        </w:rPr>
        <w:t xml:space="preserve"> cannot be spoken of outside the context of recognizing and challenging racial oppression and domination and addressing the relational breach racism causes. The word antiracism exists in a universe of action. To say the word suggests a sense of taking action against racism—action against oppression and domination.</w:t>
      </w:r>
    </w:p>
    <w:p w:rsidR="00530FB2" w:rsidRPr="00BA6B94" w:rsidRDefault="00530FB2" w:rsidP="00530FB2">
      <w:pPr>
        <w:spacing w:after="0"/>
        <w:rPr>
          <w:rFonts w:ascii="Times New Roman" w:hAnsi="Times New Roman"/>
          <w:color w:val="222222"/>
          <w:sz w:val="23"/>
          <w:szCs w:val="23"/>
          <w:lang w:eastAsia="en-US"/>
        </w:rPr>
      </w:pPr>
    </w:p>
    <w:p w:rsidR="002A7E19" w:rsidRPr="00BA6B94" w:rsidRDefault="002A7E19" w:rsidP="002A7E19">
      <w:pPr>
        <w:spacing w:after="0"/>
        <w:rPr>
          <w:rFonts w:ascii="Times New Roman" w:hAnsi="Times New Roman"/>
          <w:sz w:val="23"/>
          <w:szCs w:val="23"/>
          <w:lang w:eastAsia="en-US"/>
        </w:rPr>
      </w:pPr>
      <w:r w:rsidRPr="00BA6B94">
        <w:rPr>
          <w:rFonts w:ascii="Times New Roman" w:hAnsi="Times New Roman"/>
          <w:b/>
          <w:bCs/>
          <w:iCs/>
          <w:sz w:val="23"/>
          <w:szCs w:val="23"/>
          <w:lang w:eastAsia="en-US"/>
        </w:rPr>
        <w:t>Antiracism</w:t>
      </w:r>
      <w:r w:rsidR="00F17038" w:rsidRPr="00BA6B94">
        <w:rPr>
          <w:rFonts w:ascii="Times New Roman" w:hAnsi="Times New Roman"/>
          <w:b/>
          <w:bCs/>
          <w:i/>
          <w:iCs/>
          <w:sz w:val="23"/>
          <w:szCs w:val="23"/>
          <w:lang w:eastAsia="en-US"/>
        </w:rPr>
        <w:t xml:space="preserve"> </w:t>
      </w:r>
      <w:r w:rsidRPr="00BA6B94">
        <w:rPr>
          <w:rFonts w:ascii="Times New Roman" w:hAnsi="Times New Roman"/>
          <w:color w:val="222222"/>
          <w:sz w:val="23"/>
          <w:szCs w:val="23"/>
          <w:lang w:eastAsia="en-US"/>
        </w:rPr>
        <w:t>names the conscious</w:t>
      </w:r>
      <w:r w:rsidR="00D6613A" w:rsidRPr="00BA6B94">
        <w:rPr>
          <w:rFonts w:ascii="Times New Roman" w:hAnsi="Times New Roman"/>
          <w:color w:val="222222"/>
          <w:sz w:val="23"/>
          <w:szCs w:val="23"/>
          <w:lang w:eastAsia="en-US"/>
        </w:rPr>
        <w:t>,</w:t>
      </w:r>
      <w:r w:rsidRPr="00BA6B94">
        <w:rPr>
          <w:rFonts w:ascii="Times New Roman" w:hAnsi="Times New Roman"/>
          <w:color w:val="222222"/>
          <w:sz w:val="23"/>
          <w:szCs w:val="23"/>
          <w:lang w:eastAsia="en-US"/>
        </w:rPr>
        <w:t xml:space="preserve"> intentional effort to eradicate racism in all its forms. Antiracism work is directed</w:t>
      </w:r>
      <w:r w:rsidRPr="00BA6B94">
        <w:rPr>
          <w:rFonts w:ascii="Times New Roman" w:hAnsi="Times New Roman"/>
          <w:sz w:val="23"/>
          <w:szCs w:val="23"/>
          <w:lang w:eastAsia="en-US"/>
        </w:rPr>
        <w:t xml:space="preserve"> toward undoing </w:t>
      </w:r>
      <w:r w:rsidR="00D6613A" w:rsidRPr="00BA6B94">
        <w:rPr>
          <w:rFonts w:ascii="Times New Roman" w:hAnsi="Times New Roman"/>
          <w:sz w:val="23"/>
          <w:szCs w:val="23"/>
          <w:lang w:eastAsia="en-US"/>
        </w:rPr>
        <w:t>systemic</w:t>
      </w:r>
      <w:r w:rsidRPr="00BA6B94">
        <w:rPr>
          <w:rFonts w:ascii="Times New Roman" w:hAnsi="Times New Roman"/>
          <w:sz w:val="23"/>
          <w:szCs w:val="23"/>
          <w:lang w:eastAsia="en-US"/>
        </w:rPr>
        <w:t xml:space="preserve"> oppression and domination created to adv</w:t>
      </w:r>
      <w:r w:rsidR="00181A48" w:rsidRPr="00BA6B94">
        <w:rPr>
          <w:rFonts w:ascii="Times New Roman" w:hAnsi="Times New Roman"/>
          <w:sz w:val="23"/>
          <w:szCs w:val="23"/>
          <w:lang w:eastAsia="en-US"/>
        </w:rPr>
        <w:t>antage whites over other ethnic/racial groups.</w:t>
      </w:r>
      <w:r w:rsidRPr="00BA6B94">
        <w:rPr>
          <w:rFonts w:ascii="Times New Roman" w:hAnsi="Times New Roman"/>
          <w:sz w:val="23"/>
          <w:szCs w:val="23"/>
          <w:lang w:eastAsia="en-US"/>
        </w:rPr>
        <w:t xml:space="preserve"> This work, involving self-reflection and critical social analysis, takes the specific form of</w:t>
      </w:r>
    </w:p>
    <w:p w:rsidR="002A7E19" w:rsidRPr="00BA6B94" w:rsidRDefault="00DB52F7" w:rsidP="00033F16">
      <w:pPr>
        <w:spacing w:after="0"/>
        <w:ind w:left="720" w:hanging="360"/>
        <w:rPr>
          <w:rFonts w:ascii="Times New Roman" w:hAnsi="Times New Roman"/>
          <w:sz w:val="23"/>
          <w:szCs w:val="23"/>
          <w:lang w:eastAsia="en-US"/>
        </w:rPr>
      </w:pPr>
      <w:r w:rsidRPr="00BA6B94">
        <w:rPr>
          <w:rFonts w:ascii="Times New Roman" w:hAnsi="Times New Roman"/>
          <w:sz w:val="23"/>
          <w:szCs w:val="23"/>
          <w:lang w:eastAsia="en-US"/>
        </w:rPr>
        <w:t xml:space="preserve">1) </w:t>
      </w:r>
      <w:r w:rsidR="002A7E19" w:rsidRPr="00BA6B94">
        <w:rPr>
          <w:rFonts w:ascii="Times New Roman" w:hAnsi="Times New Roman"/>
          <w:sz w:val="23"/>
          <w:szCs w:val="23"/>
          <w:lang w:eastAsia="en-US"/>
        </w:rPr>
        <w:t xml:space="preserve">identifying the ways a certain, dominant “racial frame” </w:t>
      </w:r>
      <w:r w:rsidR="00181A48" w:rsidRPr="00BA6B94">
        <w:rPr>
          <w:rFonts w:ascii="Times New Roman" w:hAnsi="Times New Roman"/>
          <w:sz w:val="23"/>
          <w:szCs w:val="23"/>
          <w:lang w:eastAsia="en-US"/>
        </w:rPr>
        <w:t xml:space="preserve">(i.e., the white racial frame – </w:t>
      </w:r>
      <w:r w:rsidR="00181A48" w:rsidRPr="00BA6B94">
        <w:rPr>
          <w:rFonts w:ascii="Times New Roman" w:hAnsi="Times New Roman"/>
          <w:i/>
          <w:sz w:val="23"/>
          <w:szCs w:val="23"/>
          <w:lang w:eastAsia="en-US"/>
        </w:rPr>
        <w:t>see below</w:t>
      </w:r>
      <w:r w:rsidR="00181A48" w:rsidRPr="00BA6B94">
        <w:rPr>
          <w:rFonts w:ascii="Times New Roman" w:hAnsi="Times New Roman"/>
          <w:sz w:val="23"/>
          <w:szCs w:val="23"/>
          <w:lang w:eastAsia="en-US"/>
        </w:rPr>
        <w:t xml:space="preserve">) </w:t>
      </w:r>
      <w:r w:rsidR="002A7E19" w:rsidRPr="00BA6B94">
        <w:rPr>
          <w:rFonts w:ascii="Times New Roman" w:hAnsi="Times New Roman"/>
          <w:sz w:val="23"/>
          <w:szCs w:val="23"/>
          <w:lang w:eastAsia="en-US"/>
        </w:rPr>
        <w:t>functions as a central organizing principle in our society both by structuring social arrangements, relationships, and institutional power and practices, and by shaping people’s worldview – their conscious and unconscious assumptions, expectations, beliefs, feelings, images, values and behaviors;</w:t>
      </w:r>
    </w:p>
    <w:p w:rsidR="002A7E19" w:rsidRPr="00BA6B94" w:rsidRDefault="00DB52F7" w:rsidP="00033F16">
      <w:pPr>
        <w:spacing w:after="0"/>
        <w:ind w:left="720" w:hanging="360"/>
        <w:rPr>
          <w:rFonts w:ascii="Times New Roman" w:hAnsi="Times New Roman"/>
          <w:sz w:val="23"/>
          <w:szCs w:val="23"/>
          <w:lang w:eastAsia="en-US"/>
        </w:rPr>
      </w:pPr>
      <w:r w:rsidRPr="00BA6B94">
        <w:rPr>
          <w:rFonts w:ascii="Times New Roman" w:hAnsi="Times New Roman"/>
          <w:sz w:val="23"/>
          <w:szCs w:val="23"/>
          <w:lang w:eastAsia="en-US"/>
        </w:rPr>
        <w:t xml:space="preserve">2) </w:t>
      </w:r>
      <w:proofErr w:type="gramStart"/>
      <w:r w:rsidR="002A7E19" w:rsidRPr="00BA6B94">
        <w:rPr>
          <w:rFonts w:ascii="Times New Roman" w:hAnsi="Times New Roman"/>
          <w:sz w:val="23"/>
          <w:szCs w:val="23"/>
          <w:lang w:eastAsia="en-US"/>
        </w:rPr>
        <w:t>engaging</w:t>
      </w:r>
      <w:proofErr w:type="gramEnd"/>
      <w:r w:rsidR="002A7E19" w:rsidRPr="00BA6B94">
        <w:rPr>
          <w:rFonts w:ascii="Times New Roman" w:hAnsi="Times New Roman"/>
          <w:sz w:val="23"/>
          <w:szCs w:val="23"/>
          <w:lang w:eastAsia="en-US"/>
        </w:rPr>
        <w:t xml:space="preserve"> critical studies of how best to counter racism and creat</w:t>
      </w:r>
      <w:r w:rsidR="00852EB9" w:rsidRPr="00BA6B94">
        <w:rPr>
          <w:rFonts w:ascii="Times New Roman" w:hAnsi="Times New Roman"/>
          <w:sz w:val="23"/>
          <w:szCs w:val="23"/>
          <w:lang w:eastAsia="en-US"/>
        </w:rPr>
        <w:t>e ethical, democratic community;</w:t>
      </w:r>
      <w:r w:rsidR="002A7E19" w:rsidRPr="00BA6B94">
        <w:rPr>
          <w:rFonts w:ascii="Times New Roman" w:hAnsi="Times New Roman"/>
          <w:sz w:val="23"/>
          <w:szCs w:val="23"/>
          <w:lang w:eastAsia="en-US"/>
        </w:rPr>
        <w:t xml:space="preserve"> and</w:t>
      </w:r>
    </w:p>
    <w:p w:rsidR="002A7E19" w:rsidRPr="00BA6B94" w:rsidRDefault="00DB52F7" w:rsidP="00033F16">
      <w:pPr>
        <w:spacing w:after="0"/>
        <w:ind w:left="720" w:hanging="360"/>
        <w:rPr>
          <w:rFonts w:ascii="Times New Roman" w:hAnsi="Times New Roman"/>
          <w:sz w:val="23"/>
          <w:szCs w:val="23"/>
          <w:lang w:eastAsia="en-US"/>
        </w:rPr>
      </w:pPr>
      <w:r w:rsidRPr="00BA6B94">
        <w:rPr>
          <w:rFonts w:ascii="Times New Roman" w:hAnsi="Times New Roman"/>
          <w:sz w:val="23"/>
          <w:szCs w:val="23"/>
          <w:lang w:eastAsia="en-US"/>
        </w:rPr>
        <w:t xml:space="preserve">3) </w:t>
      </w:r>
      <w:proofErr w:type="gramStart"/>
      <w:r w:rsidR="002A7E19" w:rsidRPr="00BA6B94">
        <w:rPr>
          <w:rFonts w:ascii="Times New Roman" w:hAnsi="Times New Roman"/>
          <w:sz w:val="23"/>
          <w:szCs w:val="23"/>
          <w:lang w:eastAsia="en-US"/>
        </w:rPr>
        <w:t>organizing</w:t>
      </w:r>
      <w:proofErr w:type="gramEnd"/>
      <w:r w:rsidR="002A7E19" w:rsidRPr="00BA6B94">
        <w:rPr>
          <w:rFonts w:ascii="Times New Roman" w:hAnsi="Times New Roman"/>
          <w:sz w:val="23"/>
          <w:szCs w:val="23"/>
          <w:lang w:eastAsia="en-US"/>
        </w:rPr>
        <w:t xml:space="preserve"> people for collective action to create a just society.</w:t>
      </w:r>
    </w:p>
    <w:p w:rsidR="00033F16" w:rsidRPr="00BA6B94" w:rsidRDefault="00033F16" w:rsidP="00033F16">
      <w:pPr>
        <w:spacing w:after="0"/>
        <w:ind w:left="360" w:hanging="360"/>
        <w:rPr>
          <w:rFonts w:ascii="Times New Roman" w:hAnsi="Times New Roman"/>
          <w:color w:val="222222"/>
          <w:sz w:val="23"/>
          <w:szCs w:val="23"/>
          <w:lang w:eastAsia="en-US"/>
        </w:rPr>
      </w:pPr>
    </w:p>
    <w:p w:rsidR="008626BE" w:rsidRPr="00BA6B94" w:rsidRDefault="008626BE" w:rsidP="002A7E19">
      <w:pPr>
        <w:spacing w:after="0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BA6B94">
        <w:rPr>
          <w:rFonts w:ascii="Times New Roman" w:hAnsi="Times New Roman"/>
          <w:b/>
          <w:sz w:val="23"/>
          <w:szCs w:val="23"/>
        </w:rPr>
        <w:t>Antiracism needs to be posited as a value*:</w:t>
      </w:r>
    </w:p>
    <w:p w:rsidR="008626BE" w:rsidRPr="00BA6B94" w:rsidRDefault="008626BE" w:rsidP="00FB40D5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3"/>
          <w:szCs w:val="23"/>
        </w:rPr>
      </w:pPr>
      <w:r w:rsidRPr="00BA6B94">
        <w:rPr>
          <w:rFonts w:ascii="Times New Roman" w:hAnsi="Times New Roman"/>
          <w:sz w:val="23"/>
          <w:szCs w:val="23"/>
        </w:rPr>
        <w:t xml:space="preserve">The value of antiracism involves countering an evil and not just promoting a good.  </w:t>
      </w:r>
    </w:p>
    <w:p w:rsidR="008626BE" w:rsidRPr="00BA6B94" w:rsidRDefault="008626BE" w:rsidP="00033F16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3"/>
          <w:szCs w:val="23"/>
        </w:rPr>
      </w:pPr>
      <w:r w:rsidRPr="00BA6B94">
        <w:rPr>
          <w:rFonts w:ascii="Times New Roman" w:hAnsi="Times New Roman"/>
          <w:sz w:val="23"/>
          <w:szCs w:val="23"/>
        </w:rPr>
        <w:t xml:space="preserve">Acting on this value means noticing, confronting, opposing, and working toward the elimination of manifestations of racism and the domination system.  </w:t>
      </w:r>
    </w:p>
    <w:p w:rsidR="008626BE" w:rsidRPr="00BA6B94" w:rsidRDefault="008626BE" w:rsidP="00033F16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3"/>
          <w:szCs w:val="23"/>
        </w:rPr>
      </w:pPr>
      <w:r w:rsidRPr="00BA6B94">
        <w:rPr>
          <w:rFonts w:ascii="Times New Roman" w:hAnsi="Times New Roman"/>
          <w:sz w:val="23"/>
          <w:szCs w:val="23"/>
        </w:rPr>
        <w:t>Particular moral abilities and traits of character are required for activities of opposition that are not required merely for the promotion of a good goal.</w:t>
      </w:r>
    </w:p>
    <w:p w:rsidR="008626BE" w:rsidRPr="00BA6B94" w:rsidRDefault="008626BE" w:rsidP="00033F16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3"/>
          <w:szCs w:val="23"/>
        </w:rPr>
      </w:pPr>
      <w:r w:rsidRPr="00BA6B94">
        <w:rPr>
          <w:rFonts w:ascii="Times New Roman" w:hAnsi="Times New Roman"/>
          <w:sz w:val="23"/>
          <w:szCs w:val="23"/>
        </w:rPr>
        <w:t xml:space="preserve">Antiracism </w:t>
      </w:r>
      <w:r w:rsidR="00557287" w:rsidRPr="00BA6B94">
        <w:rPr>
          <w:rFonts w:ascii="Times New Roman" w:hAnsi="Times New Roman"/>
          <w:sz w:val="23"/>
          <w:szCs w:val="23"/>
        </w:rPr>
        <w:t xml:space="preserve">presupposes the positive value of racial justice; hence, the positive element is implicitly contained in the values, and the very name, </w:t>
      </w:r>
      <w:r w:rsidRPr="00BA6B94">
        <w:rPr>
          <w:rFonts w:ascii="Times New Roman" w:hAnsi="Times New Roman"/>
          <w:sz w:val="23"/>
          <w:szCs w:val="23"/>
        </w:rPr>
        <w:t>of antiracism.</w:t>
      </w:r>
    </w:p>
    <w:p w:rsidR="00CB5A58" w:rsidRPr="00BA6B94" w:rsidRDefault="00CB5A58" w:rsidP="00CB5A58">
      <w:pPr>
        <w:spacing w:after="0"/>
        <w:jc w:val="right"/>
        <w:rPr>
          <w:rFonts w:ascii="Times New Roman" w:hAnsi="Times New Roman"/>
          <w:sz w:val="16"/>
          <w:szCs w:val="23"/>
        </w:rPr>
      </w:pPr>
      <w:r w:rsidRPr="00BA6B94">
        <w:rPr>
          <w:rFonts w:ascii="Times New Roman" w:hAnsi="Times New Roman"/>
          <w:sz w:val="16"/>
          <w:szCs w:val="23"/>
        </w:rPr>
        <w:t xml:space="preserve">*(Lawrence A. Blum 1992, in </w:t>
      </w:r>
      <w:r w:rsidRPr="00BA6B94">
        <w:rPr>
          <w:rFonts w:ascii="Times New Roman" w:hAnsi="Times New Roman"/>
          <w:i/>
          <w:sz w:val="16"/>
          <w:szCs w:val="23"/>
        </w:rPr>
        <w:t>Applied Ethics: A Multicultural Approach</w:t>
      </w:r>
      <w:r w:rsidRPr="00BA6B94">
        <w:rPr>
          <w:rFonts w:ascii="Times New Roman" w:hAnsi="Times New Roman"/>
          <w:sz w:val="16"/>
          <w:szCs w:val="23"/>
        </w:rPr>
        <w:t>, pp. 5-8</w:t>
      </w:r>
      <w:proofErr w:type="gramStart"/>
      <w:r w:rsidRPr="00BA6B94">
        <w:rPr>
          <w:rFonts w:ascii="Times New Roman" w:hAnsi="Times New Roman"/>
          <w:sz w:val="16"/>
          <w:szCs w:val="23"/>
        </w:rPr>
        <w:t>,  4</w:t>
      </w:r>
      <w:r w:rsidRPr="00BA6B94">
        <w:rPr>
          <w:rFonts w:ascii="Times New Roman" w:hAnsi="Times New Roman"/>
          <w:sz w:val="16"/>
          <w:szCs w:val="23"/>
          <w:vertAlign w:val="superscript"/>
        </w:rPr>
        <w:t>th</w:t>
      </w:r>
      <w:proofErr w:type="gramEnd"/>
      <w:r w:rsidRPr="00BA6B94">
        <w:rPr>
          <w:rFonts w:ascii="Times New Roman" w:hAnsi="Times New Roman"/>
          <w:sz w:val="16"/>
          <w:szCs w:val="23"/>
        </w:rPr>
        <w:t xml:space="preserve"> </w:t>
      </w:r>
      <w:proofErr w:type="spellStart"/>
      <w:r w:rsidRPr="00BA6B94">
        <w:rPr>
          <w:rFonts w:ascii="Times New Roman" w:hAnsi="Times New Roman"/>
          <w:sz w:val="16"/>
          <w:szCs w:val="23"/>
        </w:rPr>
        <w:t>ed</w:t>
      </w:r>
      <w:proofErr w:type="spellEnd"/>
      <w:r w:rsidRPr="00BA6B94">
        <w:rPr>
          <w:rFonts w:ascii="Times New Roman" w:hAnsi="Times New Roman"/>
          <w:sz w:val="16"/>
          <w:szCs w:val="23"/>
        </w:rPr>
        <w:t>, 2006)</w:t>
      </w:r>
    </w:p>
    <w:p w:rsidR="008626BE" w:rsidRPr="00BA6B94" w:rsidRDefault="008626BE" w:rsidP="002A7E19">
      <w:pPr>
        <w:spacing w:after="0"/>
        <w:rPr>
          <w:rFonts w:ascii="Times New Roman" w:hAnsi="Times New Roman"/>
          <w:sz w:val="23"/>
          <w:szCs w:val="23"/>
        </w:rPr>
      </w:pPr>
    </w:p>
    <w:p w:rsidR="008626BE" w:rsidRPr="00BA6B94" w:rsidRDefault="008626BE" w:rsidP="002A7E19">
      <w:pPr>
        <w:spacing w:after="0"/>
        <w:rPr>
          <w:rFonts w:ascii="Times New Roman" w:hAnsi="Times New Roman"/>
          <w:b/>
          <w:sz w:val="23"/>
          <w:szCs w:val="23"/>
        </w:rPr>
      </w:pPr>
      <w:r w:rsidRPr="00BA6B94">
        <w:rPr>
          <w:rFonts w:ascii="Times New Roman" w:hAnsi="Times New Roman"/>
          <w:b/>
          <w:sz w:val="23"/>
          <w:szCs w:val="23"/>
        </w:rPr>
        <w:t>Three components of antiracism as a value*:</w:t>
      </w:r>
    </w:p>
    <w:p w:rsidR="008626BE" w:rsidRPr="00BA6B94" w:rsidRDefault="008626BE" w:rsidP="00FB40D5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3"/>
          <w:szCs w:val="23"/>
        </w:rPr>
      </w:pPr>
      <w:r w:rsidRPr="00BA6B94">
        <w:rPr>
          <w:rFonts w:ascii="Times New Roman" w:hAnsi="Times New Roman"/>
          <w:sz w:val="23"/>
          <w:szCs w:val="23"/>
        </w:rPr>
        <w:t>Antiracist moral consciousness—recognizing, examining and minimizing the manifestations of racist socialization in one’s own actions and attitudes.</w:t>
      </w:r>
    </w:p>
    <w:p w:rsidR="008626BE" w:rsidRPr="00BA6B94" w:rsidRDefault="008626BE" w:rsidP="00033F1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3"/>
          <w:szCs w:val="23"/>
        </w:rPr>
      </w:pPr>
      <w:r w:rsidRPr="00BA6B94">
        <w:rPr>
          <w:rFonts w:ascii="Times New Roman" w:hAnsi="Times New Roman"/>
          <w:sz w:val="23"/>
          <w:szCs w:val="23"/>
        </w:rPr>
        <w:t>Understanding of racism—</w:t>
      </w:r>
      <w:r w:rsidR="00557287" w:rsidRPr="00BA6B94">
        <w:rPr>
          <w:rFonts w:ascii="Times New Roman" w:hAnsi="Times New Roman"/>
          <w:sz w:val="23"/>
          <w:szCs w:val="23"/>
        </w:rPr>
        <w:t xml:space="preserve"> learning to perceive racism and to notice it when it is occurring.  This understanding is supported by:</w:t>
      </w:r>
    </w:p>
    <w:p w:rsidR="008626BE" w:rsidRPr="00BA6B94" w:rsidRDefault="008626BE" w:rsidP="00FB40D5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/>
          <w:sz w:val="23"/>
          <w:szCs w:val="23"/>
        </w:rPr>
      </w:pPr>
      <w:r w:rsidRPr="00BA6B94">
        <w:rPr>
          <w:rFonts w:ascii="Times New Roman" w:hAnsi="Times New Roman"/>
          <w:sz w:val="23"/>
          <w:szCs w:val="23"/>
        </w:rPr>
        <w:t>Learning the psychological dynamics of racism</w:t>
      </w:r>
    </w:p>
    <w:p w:rsidR="008626BE" w:rsidRPr="00BA6B94" w:rsidRDefault="008626BE" w:rsidP="00FB40D5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/>
          <w:sz w:val="23"/>
          <w:szCs w:val="23"/>
        </w:rPr>
      </w:pPr>
      <w:r w:rsidRPr="00BA6B94">
        <w:rPr>
          <w:rFonts w:ascii="Times New Roman" w:hAnsi="Times New Roman"/>
          <w:sz w:val="23"/>
          <w:szCs w:val="23"/>
        </w:rPr>
        <w:t>Learning the historical dynamics of racism—forms of racism and movements against racism</w:t>
      </w:r>
    </w:p>
    <w:p w:rsidR="008626BE" w:rsidRPr="00BA6B94" w:rsidRDefault="008626BE" w:rsidP="00FB40D5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/>
          <w:sz w:val="23"/>
          <w:szCs w:val="23"/>
        </w:rPr>
      </w:pPr>
      <w:r w:rsidRPr="00BA6B94">
        <w:rPr>
          <w:rFonts w:ascii="Times New Roman" w:hAnsi="Times New Roman"/>
          <w:sz w:val="23"/>
          <w:szCs w:val="23"/>
        </w:rPr>
        <w:t>Understanding the role of individuals in sustaining or resisting racist institutional patterns and systems</w:t>
      </w:r>
    </w:p>
    <w:p w:rsidR="008626BE" w:rsidRPr="00BA6B94" w:rsidRDefault="008626BE" w:rsidP="00033F1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3"/>
          <w:szCs w:val="23"/>
        </w:rPr>
      </w:pPr>
      <w:r w:rsidRPr="00BA6B94">
        <w:rPr>
          <w:rFonts w:ascii="Times New Roman" w:hAnsi="Times New Roman"/>
          <w:sz w:val="23"/>
          <w:szCs w:val="23"/>
        </w:rPr>
        <w:t xml:space="preserve">Opposition to racism—accepting responsibility concerning manifestations of racism </w:t>
      </w:r>
      <w:r w:rsidR="00557287" w:rsidRPr="00BA6B94">
        <w:rPr>
          <w:rFonts w:ascii="Times New Roman" w:hAnsi="Times New Roman"/>
          <w:sz w:val="23"/>
          <w:szCs w:val="23"/>
        </w:rPr>
        <w:t xml:space="preserve">ourselves, in other persons </w:t>
      </w:r>
      <w:r w:rsidRPr="00BA6B94">
        <w:rPr>
          <w:rFonts w:ascii="Times New Roman" w:hAnsi="Times New Roman"/>
          <w:sz w:val="23"/>
          <w:szCs w:val="23"/>
        </w:rPr>
        <w:t>and in the society more generally.</w:t>
      </w:r>
    </w:p>
    <w:p w:rsidR="00CB5A58" w:rsidRPr="00BA6B94" w:rsidRDefault="00CB5A58" w:rsidP="00CB5A58">
      <w:pPr>
        <w:spacing w:after="0"/>
        <w:jc w:val="right"/>
        <w:rPr>
          <w:rFonts w:ascii="Times New Roman" w:hAnsi="Times New Roman"/>
          <w:sz w:val="16"/>
          <w:szCs w:val="23"/>
        </w:rPr>
      </w:pPr>
      <w:r w:rsidRPr="00BA6B94">
        <w:rPr>
          <w:rFonts w:ascii="Times New Roman" w:hAnsi="Times New Roman"/>
          <w:sz w:val="16"/>
          <w:szCs w:val="23"/>
        </w:rPr>
        <w:t xml:space="preserve">*(Lawrence A. Blum 1992, in </w:t>
      </w:r>
      <w:r w:rsidRPr="00BA6B94">
        <w:rPr>
          <w:rFonts w:ascii="Times New Roman" w:hAnsi="Times New Roman"/>
          <w:i/>
          <w:sz w:val="16"/>
          <w:szCs w:val="23"/>
        </w:rPr>
        <w:t xml:space="preserve">Applied Ethics: A Multicultural Approach, </w:t>
      </w:r>
      <w:r w:rsidRPr="00BA6B94">
        <w:rPr>
          <w:rFonts w:ascii="Times New Roman" w:hAnsi="Times New Roman"/>
          <w:sz w:val="16"/>
          <w:szCs w:val="23"/>
        </w:rPr>
        <w:t>pp. 5-8</w:t>
      </w:r>
      <w:proofErr w:type="gramStart"/>
      <w:r w:rsidRPr="00BA6B94">
        <w:rPr>
          <w:rFonts w:ascii="Times New Roman" w:hAnsi="Times New Roman"/>
          <w:sz w:val="16"/>
          <w:szCs w:val="23"/>
        </w:rPr>
        <w:t>,  4</w:t>
      </w:r>
      <w:r w:rsidRPr="00BA6B94">
        <w:rPr>
          <w:rFonts w:ascii="Times New Roman" w:hAnsi="Times New Roman"/>
          <w:sz w:val="16"/>
          <w:szCs w:val="23"/>
          <w:vertAlign w:val="superscript"/>
        </w:rPr>
        <w:t>th</w:t>
      </w:r>
      <w:proofErr w:type="gramEnd"/>
      <w:r w:rsidRPr="00BA6B94">
        <w:rPr>
          <w:rFonts w:ascii="Times New Roman" w:hAnsi="Times New Roman"/>
          <w:sz w:val="16"/>
          <w:szCs w:val="23"/>
        </w:rPr>
        <w:t xml:space="preserve"> </w:t>
      </w:r>
      <w:proofErr w:type="spellStart"/>
      <w:r w:rsidRPr="00BA6B94">
        <w:rPr>
          <w:rFonts w:ascii="Times New Roman" w:hAnsi="Times New Roman"/>
          <w:sz w:val="16"/>
          <w:szCs w:val="23"/>
        </w:rPr>
        <w:t>ed</w:t>
      </w:r>
      <w:proofErr w:type="spellEnd"/>
      <w:r w:rsidRPr="00BA6B94">
        <w:rPr>
          <w:rFonts w:ascii="Times New Roman" w:hAnsi="Times New Roman"/>
          <w:sz w:val="16"/>
          <w:szCs w:val="23"/>
        </w:rPr>
        <w:t>, 2006)</w:t>
      </w:r>
    </w:p>
    <w:p w:rsidR="008626BE" w:rsidRPr="00BA6B94" w:rsidRDefault="008626BE" w:rsidP="002A7E19">
      <w:pPr>
        <w:spacing w:after="0"/>
        <w:rPr>
          <w:rFonts w:ascii="Times New Roman" w:hAnsi="Times New Roman"/>
          <w:sz w:val="23"/>
          <w:szCs w:val="23"/>
        </w:rPr>
      </w:pPr>
    </w:p>
    <w:p w:rsidR="00CB5A58" w:rsidRPr="00BA6B94" w:rsidRDefault="00CB5A58" w:rsidP="002A7E19">
      <w:pPr>
        <w:spacing w:after="0"/>
        <w:rPr>
          <w:rFonts w:ascii="Times New Roman" w:hAnsi="Times New Roman"/>
          <w:b/>
          <w:sz w:val="23"/>
          <w:szCs w:val="23"/>
        </w:rPr>
      </w:pPr>
      <w:r w:rsidRPr="00BA6B94">
        <w:rPr>
          <w:rFonts w:ascii="Times New Roman" w:hAnsi="Times New Roman"/>
          <w:b/>
          <w:sz w:val="23"/>
          <w:szCs w:val="23"/>
        </w:rPr>
        <w:t>White Racial Frame</w:t>
      </w:r>
    </w:p>
    <w:p w:rsidR="00CF1D08" w:rsidRPr="00BA6B94" w:rsidRDefault="00F17038" w:rsidP="00557287">
      <w:pPr>
        <w:shd w:val="clear" w:color="auto" w:fill="FFFFFF"/>
        <w:ind w:left="360"/>
        <w:rPr>
          <w:rFonts w:ascii="Times New Roman" w:eastAsia="Times New Roman" w:hAnsi="Times New Roman"/>
          <w:color w:val="222222"/>
          <w:sz w:val="23"/>
          <w:szCs w:val="23"/>
        </w:rPr>
      </w:pPr>
      <w:r w:rsidRPr="00BA6B94">
        <w:rPr>
          <w:rFonts w:ascii="Times New Roman" w:eastAsia="Times New Roman" w:hAnsi="Times New Roman"/>
          <w:iCs/>
          <w:color w:val="222222"/>
          <w:sz w:val="23"/>
          <w:szCs w:val="23"/>
        </w:rPr>
        <w:t xml:space="preserve">The white racial frame is a perspective or worldview that, consciously or unconsciously, holds that the proper, </w:t>
      </w:r>
      <w:r w:rsidR="00CB5A58" w:rsidRPr="00BA6B94">
        <w:rPr>
          <w:rFonts w:ascii="Times New Roman" w:eastAsia="Times New Roman" w:hAnsi="Times New Roman"/>
          <w:iCs/>
          <w:color w:val="222222"/>
          <w:sz w:val="23"/>
          <w:szCs w:val="23"/>
        </w:rPr>
        <w:t>ideal or normative way of perceiving, interpreting, and behaving corresponds to the cultural beliefs, values, preferences, evaluations, and practices held by elite Euro-Americans (whites) or by Euro-American people in general.</w:t>
      </w:r>
      <w:r w:rsidR="00D37DA3">
        <w:rPr>
          <w:rFonts w:ascii="Times New Roman" w:eastAsia="Times New Roman" w:hAnsi="Times New Roman"/>
          <w:iCs/>
          <w:color w:val="222222"/>
          <w:sz w:val="23"/>
          <w:szCs w:val="23"/>
        </w:rPr>
        <w:t xml:space="preserve"> (See: Joe R. Feagin 2013, </w:t>
      </w:r>
      <w:r w:rsidR="00D37DA3" w:rsidRPr="00D37DA3">
        <w:rPr>
          <w:rFonts w:ascii="Times New Roman" w:eastAsia="Times New Roman" w:hAnsi="Times New Roman"/>
          <w:i/>
          <w:iCs/>
          <w:color w:val="222222"/>
          <w:sz w:val="23"/>
          <w:szCs w:val="23"/>
        </w:rPr>
        <w:t>The White Racial Frame</w:t>
      </w:r>
      <w:r w:rsidR="00D37DA3">
        <w:rPr>
          <w:rFonts w:ascii="Times New Roman" w:eastAsia="Times New Roman" w:hAnsi="Times New Roman"/>
          <w:iCs/>
          <w:color w:val="222222"/>
          <w:sz w:val="23"/>
          <w:szCs w:val="23"/>
        </w:rPr>
        <w:t>)</w:t>
      </w:r>
    </w:p>
    <w:sectPr w:rsidR="00CF1D08" w:rsidRPr="00BA6B94" w:rsidSect="00096EBA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F33"/>
    <w:multiLevelType w:val="hybridMultilevel"/>
    <w:tmpl w:val="C5446CB0"/>
    <w:lvl w:ilvl="0" w:tplc="A2AE70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68F8"/>
    <w:multiLevelType w:val="hybridMultilevel"/>
    <w:tmpl w:val="652E1CA0"/>
    <w:lvl w:ilvl="0" w:tplc="494A178A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NewRomanPS-Bold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NewRomanPS-Bold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NewRomanPS-Bold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90E5D6C"/>
    <w:multiLevelType w:val="hybridMultilevel"/>
    <w:tmpl w:val="19C022CE"/>
    <w:lvl w:ilvl="0" w:tplc="B658D42C">
      <w:start w:val="1"/>
      <w:numFmt w:val="decimal"/>
      <w:lvlText w:val="%1)"/>
      <w:lvlJc w:val="left"/>
      <w:pPr>
        <w:ind w:left="720" w:hanging="360"/>
      </w:pPr>
      <w:rPr>
        <w:rFonts w:ascii="Times New Roman" w:eastAsia="ＭＳ 明朝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0B21"/>
    <w:multiLevelType w:val="hybridMultilevel"/>
    <w:tmpl w:val="E9227AB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24E07"/>
    <w:multiLevelType w:val="hybridMultilevel"/>
    <w:tmpl w:val="C5AAAFA8"/>
    <w:lvl w:ilvl="0" w:tplc="89809A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B5C2E"/>
    <w:multiLevelType w:val="hybridMultilevel"/>
    <w:tmpl w:val="52F2A3A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NewRomanPS-Bold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NewRomanPS-Bold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NewRomanPS-Bold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50663034"/>
    <w:multiLevelType w:val="hybridMultilevel"/>
    <w:tmpl w:val="E970E9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C418F"/>
    <w:multiLevelType w:val="hybridMultilevel"/>
    <w:tmpl w:val="7700A236"/>
    <w:lvl w:ilvl="0" w:tplc="B82027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7F2D21"/>
    <w:multiLevelType w:val="hybridMultilevel"/>
    <w:tmpl w:val="0D28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36395"/>
    <w:multiLevelType w:val="hybridMultilevel"/>
    <w:tmpl w:val="40E270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00828"/>
    <w:multiLevelType w:val="hybridMultilevel"/>
    <w:tmpl w:val="8F5673D0"/>
    <w:lvl w:ilvl="0" w:tplc="548E34F8">
      <w:start w:val="1"/>
      <w:numFmt w:val="decimal"/>
      <w:lvlText w:val="%1)"/>
      <w:lvlJc w:val="left"/>
      <w:pPr>
        <w:ind w:left="720" w:hanging="360"/>
      </w:pPr>
      <w:rPr>
        <w:rFonts w:ascii="Times New Roman" w:eastAsia="ＭＳ 明朝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B75D7"/>
    <w:multiLevelType w:val="hybridMultilevel"/>
    <w:tmpl w:val="1DDE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E5C44"/>
    <w:rsid w:val="00033F16"/>
    <w:rsid w:val="00096EBA"/>
    <w:rsid w:val="00181A48"/>
    <w:rsid w:val="001E168A"/>
    <w:rsid w:val="001F48EB"/>
    <w:rsid w:val="00236CE0"/>
    <w:rsid w:val="002A7E19"/>
    <w:rsid w:val="002E0AE5"/>
    <w:rsid w:val="00396312"/>
    <w:rsid w:val="003E5C44"/>
    <w:rsid w:val="00476705"/>
    <w:rsid w:val="00530FB2"/>
    <w:rsid w:val="00557287"/>
    <w:rsid w:val="006463C6"/>
    <w:rsid w:val="006C425C"/>
    <w:rsid w:val="00762B12"/>
    <w:rsid w:val="007E5B4E"/>
    <w:rsid w:val="00852EB9"/>
    <w:rsid w:val="0085739D"/>
    <w:rsid w:val="008626BE"/>
    <w:rsid w:val="00904BA4"/>
    <w:rsid w:val="009A2DEF"/>
    <w:rsid w:val="00A300CC"/>
    <w:rsid w:val="00A66BA2"/>
    <w:rsid w:val="00BA6B94"/>
    <w:rsid w:val="00BF7B99"/>
    <w:rsid w:val="00C266C5"/>
    <w:rsid w:val="00C91941"/>
    <w:rsid w:val="00CB5A58"/>
    <w:rsid w:val="00CF1D08"/>
    <w:rsid w:val="00D37DA3"/>
    <w:rsid w:val="00D6613A"/>
    <w:rsid w:val="00DB52F7"/>
    <w:rsid w:val="00E01B77"/>
    <w:rsid w:val="00EA3BD6"/>
    <w:rsid w:val="00F17038"/>
    <w:rsid w:val="00FB40D5"/>
    <w:rsid w:val="00FF73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44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7E19"/>
  </w:style>
  <w:style w:type="paragraph" w:styleId="ListParagraph">
    <w:name w:val="List Paragraph"/>
    <w:basedOn w:val="Normal"/>
    <w:uiPriority w:val="34"/>
    <w:qFormat/>
    <w:rsid w:val="002A7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44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7E19"/>
  </w:style>
  <w:style w:type="paragraph" w:styleId="ListParagraph">
    <w:name w:val="List Paragraph"/>
    <w:basedOn w:val="Normal"/>
    <w:uiPriority w:val="34"/>
    <w:qFormat/>
    <w:rsid w:val="002A7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A. Perkins</dc:creator>
  <cp:lastModifiedBy>CPUCTim</cp:lastModifiedBy>
  <cp:revision>2</cp:revision>
  <dcterms:created xsi:type="dcterms:W3CDTF">2015-11-10T19:22:00Z</dcterms:created>
  <dcterms:modified xsi:type="dcterms:W3CDTF">2015-11-10T19:22:00Z</dcterms:modified>
</cp:coreProperties>
</file>